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BA" w:rsidRDefault="00B244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44BA" w:rsidRDefault="00B244BA">
      <w:pPr>
        <w:pStyle w:val="ConsPlusNormal"/>
        <w:outlineLvl w:val="0"/>
      </w:pPr>
    </w:p>
    <w:p w:rsidR="00B244BA" w:rsidRDefault="00B244BA">
      <w:pPr>
        <w:pStyle w:val="ConsPlusTitle"/>
        <w:jc w:val="center"/>
      </w:pPr>
      <w:r>
        <w:t>ПИСЬМО АССОЦИАЦИИ НАЛОГОПЛАТЕЛЬЩИКОВ</w:t>
      </w:r>
    </w:p>
    <w:p w:rsidR="00B244BA" w:rsidRDefault="00B244BA">
      <w:pPr>
        <w:pStyle w:val="ConsPlusTitle"/>
        <w:jc w:val="center"/>
      </w:pPr>
      <w:r>
        <w:t>21 апреля 2020 г. N 210</w:t>
      </w:r>
    </w:p>
    <w:p w:rsidR="00B244BA" w:rsidRDefault="00B244BA">
      <w:pPr>
        <w:pStyle w:val="ConsPlusTitle"/>
        <w:jc w:val="center"/>
      </w:pPr>
    </w:p>
    <w:p w:rsidR="00B244BA" w:rsidRDefault="00B244BA">
      <w:pPr>
        <w:pStyle w:val="ConsPlusTitle"/>
        <w:jc w:val="center"/>
      </w:pPr>
      <w:r>
        <w:t>О РАЗЪЯСНЕНИИ ПОРЯДКА ОПРЕДЕЛЕНИЯ НАЛОГОВОЙ БАЗЫ ПО ПОДОХОДНОМУ НАЛОГУ ПО ОПЕРАЦИЯМ С ЦЕННЫМИ БУМАГАМИ ИНОСТРАННЫХ ОРГАНИЗАЦИЙ</w:t>
      </w:r>
    </w:p>
    <w:p w:rsidR="00B244BA" w:rsidRDefault="00B244BA">
      <w:pPr>
        <w:pStyle w:val="ConsPlusNormal"/>
        <w:jc w:val="right"/>
      </w:pPr>
    </w:p>
    <w:p w:rsidR="00B244BA" w:rsidRDefault="00B244BA">
      <w:pPr>
        <w:pStyle w:val="ConsPlusNormal"/>
        <w:jc w:val="right"/>
      </w:pPr>
      <w:r>
        <w:t>Министерство по налогам и сборам</w:t>
      </w:r>
    </w:p>
    <w:p w:rsidR="00B244BA" w:rsidRDefault="00B244BA">
      <w:pPr>
        <w:pStyle w:val="ConsPlusNormal"/>
        <w:jc w:val="right"/>
      </w:pPr>
      <w:r>
        <w:t>Республики Беларусь</w:t>
      </w:r>
    </w:p>
    <w:p w:rsidR="00B244BA" w:rsidRDefault="00B244BA">
      <w:pPr>
        <w:pStyle w:val="ConsPlusNormal"/>
        <w:jc w:val="center"/>
      </w:pPr>
    </w:p>
    <w:p w:rsidR="00B244BA" w:rsidRDefault="00B244BA">
      <w:pPr>
        <w:pStyle w:val="ConsPlusNormal"/>
        <w:ind w:firstLine="540"/>
        <w:jc w:val="both"/>
      </w:pPr>
      <w:r>
        <w:t>Ассоциация налогоплательщиков, руководствуясь Меморандумом о сотрудничестве и взаимопонимании, заключенным с Министерством по налогам и сборам Республики Беларусь, настоящим обращается за согласованием единообразного подхода к пониманию порядка определения налоговой базы по подоходному налогу при совершении физическими лицами сделок с ценными бумагами и финансовыми инструментами на зарубежных финансовых рынках в целях надлежащего, полного и своевременного исполнения такими физическими лицами своих налоговых обязательств, возникающих в Республике Беларусь.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В настоящее время достаточно большое количество физических лиц осуществляет деятельность по приобретению и реализации ценных бумаг иностранных эмитентов, операции с иными финансовыми инструментами, привлекая для этого иностранных профессиональных участников рынка ценных бумаг, в частности, иностранных брокеров. Одной из наиболее распространенных ситуаций является следующая.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Физическое лицо - налоговый резидент Беларуси - заключает договор оказания брокерских услуг с иностранным брокером.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В соответствии с заключенным договором физическое лицо инвестирует денежные средства в ценные бумаги и другие финансовые инструменты на международных фондовых рынках.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Физическое лицо назначает брокера своим уполномоченным представителем и агентом, предоставляет все полномочия действовать в соответствии с инструкциями и поручениями от физического лица, т.е. все биржевые сделки в интересах физического лица заключает непосредственно иностранный брокер.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Иностранный брокер по договору за вознаграждение предоставляет брокерские услуги на международных финансовых рынках. Физическое лицо перечисляет деньги и поручает иностранному брокеру приобрести ценные бумаги и/или поручает продать ценные бумаги в интересах физического лица. Брокер по поручениям физического лица покупает и/или продает ценные бумаги и хранит полученные деньги и ценные бумаги на своих счетах, открытых в иностранном банке. При этом брокер ведет раздельный учет счетов своих клиентов, который позволяет отделить активы одного клиента от активов других клиентов, а также от собственных активов.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Физическое лицо может в любое время дать поручение на перечисление денег на свой банковский счет, открытый в Республике Беларусь или в других юрисдикциях.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По остаткам денежных средств физического лица, которые хранятся на брокерском счете у иностранного брокера и которые не инвестированы в покупку ценных бумаг либо иные финансовые инструменты, брокер начисляет физическому лицу проценты за пользование денежными средствами.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Такие денежные средства (начисленные проценты по остаткам на счете) по поручению </w:t>
      </w:r>
      <w:r>
        <w:lastRenderedPageBreak/>
        <w:t>физического лица без перечисления на банковский счет физического лица могут быть направлены на покупку ценных бумаг.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Физическое лицо также может в любое время дать поручение на перечисление таких денежных средств на свой банковский счет, открытый в Республике Беларусь или в других юрисдикциях. Согласно </w:t>
      </w:r>
      <w:hyperlink r:id="rId5" w:history="1">
        <w:r>
          <w:rPr>
            <w:color w:val="0000FF"/>
          </w:rPr>
          <w:t>п. 1 ст. 199</w:t>
        </w:r>
      </w:hyperlink>
      <w:r>
        <w:t xml:space="preserve"> Налогового кодекса Республики Беларусь (далее по тексту обращения - НК) при определении налоговой базы подоходного налога учитываются все доходы плательщика, полученные им как в денежной, так и в натуральной формах.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8 ст. 202</w:t>
        </w:r>
      </w:hyperlink>
      <w:r>
        <w:t xml:space="preserve"> НК налоговая база подоходного налога по операциям с ценными бумагами и финансовыми инструментами срочных сделок по договорам, заключенным с иностранной организацией (за исключением иностранной организации, осуществляющей деятельность на территории Республики Беларусь через постоянное представительство) или иностранным индивидуальным предпринимателем, определяется как денежное выражение доходов от операций с ценными бумагами, уменьшенных на сумму фактически произведенных и документально подтвержденных расходов в размере: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- стоимости приобретения ценных бумаг, переданных плательщиком иностранной организации на основании заключенного с такой организацией договора;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- денежных средств, переданных плательщиком иностранной организации для осуществления в соответствии с договором операций с ценными бумагами и финансовыми инструментами срочных сделок.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При этом налоговая база определяется на дату фактической выплаты дохода плательщику отдельно по каждому заключенному договору и по </w:t>
      </w:r>
      <w:r>
        <w:rPr>
          <w:b/>
        </w:rPr>
        <w:t>всей совокупности операций, совершенных в рамках такого договора</w:t>
      </w:r>
      <w:r>
        <w:t xml:space="preserve"> (</w:t>
      </w:r>
      <w:hyperlink r:id="rId7" w:history="1">
        <w:r>
          <w:rPr>
            <w:color w:val="0000FF"/>
          </w:rPr>
          <w:t>ч. 2 п. 8 ст. 202</w:t>
        </w:r>
      </w:hyperlink>
      <w:r>
        <w:t xml:space="preserve"> НК).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213</w:t>
        </w:r>
      </w:hyperlink>
      <w:r>
        <w:t xml:space="preserve"> НК </w:t>
      </w:r>
      <w:r>
        <w:rPr>
          <w:b/>
        </w:rPr>
        <w:t>дата фактического получения дохода</w:t>
      </w:r>
      <w:r>
        <w:t xml:space="preserve"> определяется в отношении доходов плательщика, не связанных с осуществлением им предпринимательской деятельности, как </w:t>
      </w:r>
      <w:r>
        <w:rPr>
          <w:b/>
        </w:rPr>
        <w:t>день выплаты дохода,</w:t>
      </w:r>
      <w:r>
        <w:t xml:space="preserve"> в том числе </w:t>
      </w:r>
      <w:r>
        <w:rPr>
          <w:b/>
        </w:rPr>
        <w:t>зачисления дохода на счета плательщика в банках</w:t>
      </w:r>
      <w:r>
        <w:t xml:space="preserve"> (иностранных банках) </w:t>
      </w:r>
      <w:r>
        <w:rPr>
          <w:b/>
        </w:rPr>
        <w:t>либо по его поручению на счета третьих лиц,</w:t>
      </w:r>
      <w:r>
        <w:t xml:space="preserve"> а также день зачисления электронных денег в электронный кошелек плательщика либо по его поручению в электронный кошелек третьих лиц - при получении доходов в денежной форме.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Учитывая вышеизложенное, просим разъяснить следующие вопросы: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1. Как определяется налоговая база (доход) по подоходному налогу при получении дохода от операций по приобретению и реализации ценных бумаг иностранных организаций через иностранного брокера согласно </w:t>
      </w:r>
      <w:hyperlink r:id="rId9" w:history="1">
        <w:r>
          <w:rPr>
            <w:color w:val="0000FF"/>
          </w:rPr>
          <w:t>ст. 202</w:t>
        </w:r>
      </w:hyperlink>
      <w:r>
        <w:t xml:space="preserve"> НК, в частности, в доход для целей определения налоговой базы по подоходному налогу физическому лицу следует включать: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а) доход от операций по купле-продаже ценных бумаг, который поступил на клиентский счет брокера (который ведется в разрезе каждого отдельно взятого клиента брокера (каждого физического лица)), но не был перечислен на банковский счет физического лица, открытый в банке Республике Беларусь или в другой юрисдикции?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б) доход от операций по купле-продаже ценных бумаг, который был фактически получен физическим лицом от брокера, т.е. перечислен с брокерского счета на банковский счет физического лица, открытый в Республике Беларусь или в другой юрисдикции?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 xml:space="preserve">2. Как определяется налоговая база по подоходному налогу в рамках одного договора поручения, заключенного физическим лицом с брокером, при условии, что сделок по купле-продаже ценных бумаг может совершаться несколько десятков или сотен в год и по каждой отдельно взятой сделке по ценным бумагам разных иностранных эмитентов, по совершаемых в рамках одного брокерского договора (договора поручения) могут быть получены как прибыль, так </w:t>
      </w:r>
      <w:r>
        <w:lastRenderedPageBreak/>
        <w:t>и убыток: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а) как общая сумма дохода по каждой отдельно взятой сделке при продаже ценных бумаг?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б) как общий финансовый результат по всем сделкам по купле-продаже ценных бумаг, которые включают в себя как прибыльные, так и убыточные сделки?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в) как общую сумму денежных средств, перечисленную с брокерского счета на банковский счет физического лица, квалифицируя такую сумму денежных средств как "получение дохода" от сделок по купле-продаже ценных бумаг?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3. Следует ли включать в сумму дохода сумму денежных средств, перечисленных брокером на банковский счет физического лица, которая будет являться суммой возврата неиспользованных денежных средств для совершения сделок, в случае: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а) если в назначении платежа не будет указано, что это сумма возвращаемых неиспользованных денежных средств, а будет указано, что это сумма денежных средств, перечисляемая брокером в рамках исполнения договора поручения, но при этом брокер дополнительно представит письмо о том, что это сумма не является доходом от сделок по операциям с ценными бумагами?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б) если в назначении платежа не будет указано, что это сумма возвращаемых неиспользованных денежных средств, а будет указано, что это сумма денежных средств, перечисляемая брокером в рамках исполнения договора поручения, но при этом брокер не представит письмо о том, что это сумма не является доходом от сделок по операциям с ценными бумагами, но по отчету брокера будет видно, что физическое лицо по общей совокупности сделок не получило доход от реализации ценных бумаг, т.е. в общем по всей совокупности прибыльных и убыточных сделок получен общий убыток от купли-продажи ценных бумаг?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4. Какая дата будет являться датой получения дохода физическим лицом в виде процентов, начисляемых брокером за пользование денежными средствами: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а) дата получения (начисления) денежных средств на счета брокера, которые брокер ведет таким образом, что активы физического лица можно отделить от активов других клиентов брокера?</w:t>
      </w:r>
    </w:p>
    <w:p w:rsidR="00B244BA" w:rsidRDefault="00B244BA">
      <w:pPr>
        <w:pStyle w:val="ConsPlusNormal"/>
        <w:spacing w:before="220"/>
        <w:ind w:firstLine="540"/>
        <w:jc w:val="both"/>
      </w:pPr>
      <w:r>
        <w:t>б) дата получения денежных средств от брокера на банковский счет физического лица?</w:t>
      </w:r>
    </w:p>
    <w:p w:rsidR="00B244BA" w:rsidRDefault="00B244BA">
      <w:pPr>
        <w:pStyle w:val="ConsPlusNormal"/>
      </w:pPr>
    </w:p>
    <w:p w:rsidR="00B244BA" w:rsidRDefault="00B244BA">
      <w:pPr>
        <w:pStyle w:val="ConsPlusNormal"/>
      </w:pPr>
      <w:r>
        <w:t>С уважением,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44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4BA" w:rsidRDefault="00B244BA">
            <w:pPr>
              <w:pStyle w:val="ConsPlusNormal"/>
              <w:spacing w:before="220"/>
            </w:pPr>
            <w:r>
              <w:t>Председатель Ассоциации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4BA" w:rsidRDefault="00B244BA">
            <w:pPr>
              <w:pStyle w:val="ConsPlusNormal"/>
              <w:spacing w:before="220"/>
              <w:jc w:val="right"/>
            </w:pPr>
            <w:proofErr w:type="spellStart"/>
            <w:r>
              <w:t>Л.П.Миронюк</w:t>
            </w:r>
            <w:proofErr w:type="spellEnd"/>
          </w:p>
        </w:tc>
      </w:tr>
    </w:tbl>
    <w:p w:rsidR="00B244BA" w:rsidRDefault="00B244BA">
      <w:pPr>
        <w:pStyle w:val="ConsPlusNormal"/>
        <w:jc w:val="both"/>
      </w:pPr>
    </w:p>
    <w:p w:rsidR="00B244BA" w:rsidRDefault="00B244BA">
      <w:pPr>
        <w:pStyle w:val="ConsPlusNormal"/>
      </w:pPr>
    </w:p>
    <w:p w:rsidR="00B244BA" w:rsidRDefault="00B24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3C9" w:rsidRDefault="00D413C9"/>
    <w:sectPr w:rsidR="00D413C9" w:rsidSect="00DB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BA"/>
    <w:rsid w:val="001578B2"/>
    <w:rsid w:val="009D12E6"/>
    <w:rsid w:val="00B244BA"/>
    <w:rsid w:val="00BC2D3E"/>
    <w:rsid w:val="00D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F42802-75E6-4D59-858E-7C69D5F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F08DA42AA0D28CEBEEB88114E84DA64BA20B80ACFDCD59F202ECA9D319A77A45FDA3C7581E9B534E0971C1B5E3A5BE68EE99B9B487B8329ABECCE97e5W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9F08DA42AA0D28CEBEEB88114E84DA64BA20B80ACFDCD59F202ECA9D319A77A45FDA3C7581E9B534E0961018593A5BE68EE99B9B487B8329ABECCE97e5W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F08DA42AA0D28CEBEEB88114E84DA64BA20B80ACFDCD59F202ECA9D319A77A45FDA3C7581E9B534E09610195E3A5BE68EE99B9B487B8329ABECCE97e5W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9F08DA42AA0D28CEBEEB88114E84DA64BA20B80ACFDCD59F202ECA9D319A77A45FDA3C7581E9B534E09611175A3A5BE68EE99B9B487B8329ABECCE97e5W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9F08DA42AA0D28CEBEEB88114E84DA64BA20B80ACFDCD59F202ECA9D319A77A45FDA3C7581E9B534E096101C5C3A5BE68EE99B9B487B8329ABECCE97e5W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2023-04-11T15:05:00Z</dcterms:created>
  <dcterms:modified xsi:type="dcterms:W3CDTF">2023-04-11T15:05:00Z</dcterms:modified>
</cp:coreProperties>
</file>